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6360" w:firstLine="12.000000000000455"/>
        <w:jc w:val="both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Изх. №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highlight w:val="yellow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64" w:lineRule="auto"/>
        <w:jc w:val="both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64" w:lineRule="auto"/>
        <w:jc w:val="both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ЧРЕЗ</w:t>
      </w:r>
    </w:p>
    <w:p w:rsidR="00000000" w:rsidDel="00000000" w:rsidP="00000000" w:rsidRDefault="00000000" w:rsidRPr="00000000" w14:paraId="00000005">
      <w:pPr>
        <w:spacing w:after="120" w:line="264" w:lineRule="auto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Г-Н РОСЕН ЖЕЛЯЗКОВ –</w:t>
        <w:br w:type="textWrapping"/>
        <w:t xml:space="preserve">ПРЕДСЕДАТЕЛ НА 49-ТО НАРОДНО СЪБРАНИЕ</w:t>
        <w:br w:type="textWrapping"/>
        <w:t xml:space="preserve">НА РЕПУБЛИКА БЪЛГАРИЯ</w:t>
      </w:r>
    </w:p>
    <w:p w:rsidR="00000000" w:rsidDel="00000000" w:rsidP="00000000" w:rsidRDefault="00000000" w:rsidRPr="00000000" w14:paraId="00000006">
      <w:pPr>
        <w:spacing w:after="120" w:line="264" w:lineRule="auto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ДО</w:t>
      </w:r>
    </w:p>
    <w:p w:rsidR="00000000" w:rsidDel="00000000" w:rsidP="00000000" w:rsidRDefault="00000000" w:rsidRPr="00000000" w14:paraId="00000007">
      <w:pPr>
        <w:spacing w:after="120" w:line="264" w:lineRule="auto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Г-Н НИКОЛАЙ НАНКОВ –</w:t>
        <w:br w:type="textWrapping"/>
        <w:t xml:space="preserve">ПРЕДСЕДАТЕЛ НА КОМИСИЯТА ПО РЕГИОНАЛНА ПОЛИТИКА,</w:t>
        <w:br w:type="textWrapping"/>
        <w:t xml:space="preserve">БЛАГОУСТРОЙСТВО И МЕСТНО САМОУПРАВЛЕНИЕ</w:t>
      </w:r>
    </w:p>
    <w:p w:rsidR="00000000" w:rsidDel="00000000" w:rsidP="00000000" w:rsidRDefault="00000000" w:rsidRPr="00000000" w14:paraId="00000008">
      <w:pPr>
        <w:spacing w:after="480" w:before="480" w:line="264" w:lineRule="auto"/>
        <w:ind w:left="1412" w:hanging="1412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Относно: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Становище за второ четене на проект на Закон за изменение и допълнение на Закона за насърчаване на инвестициите сигн. № 49-454-01-51/2024 г.</w:t>
      </w:r>
    </w:p>
    <w:p w:rsidR="00000000" w:rsidDel="00000000" w:rsidP="00000000" w:rsidRDefault="00000000" w:rsidRPr="00000000" w14:paraId="00000009">
      <w:pPr>
        <w:tabs>
          <w:tab w:val="left" w:leader="none" w:pos="810"/>
        </w:tabs>
        <w:spacing w:after="0" w:line="264" w:lineRule="auto"/>
        <w:ind w:firstLine="706"/>
        <w:jc w:val="both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УВАЖАЕМИ Г-Н ЖЕЛЯЗКОВ,</w:t>
      </w:r>
    </w:p>
    <w:p w:rsidR="00000000" w:rsidDel="00000000" w:rsidP="00000000" w:rsidRDefault="00000000" w:rsidRPr="00000000" w14:paraId="0000000A">
      <w:pPr>
        <w:tabs>
          <w:tab w:val="left" w:leader="none" w:pos="810"/>
        </w:tabs>
        <w:spacing w:after="240" w:line="264" w:lineRule="auto"/>
        <w:ind w:firstLine="706"/>
        <w:jc w:val="both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УВАЖАЕМИ Г-Н НАНКОВ,</w:t>
      </w:r>
    </w:p>
    <w:p w:rsidR="00000000" w:rsidDel="00000000" w:rsidP="00000000" w:rsidRDefault="00000000" w:rsidRPr="00000000" w14:paraId="0000000B">
      <w:pPr>
        <w:tabs>
          <w:tab w:val="left" w:leader="none" w:pos="810"/>
        </w:tabs>
        <w:spacing w:after="120" w:line="240" w:lineRule="auto"/>
        <w:ind w:firstLine="709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На основание чл. 5, т. 6 от Закона за камарите на архитектите и инженерите в инвестиционното проектиране (ЗКАИИП), Камарата на архитектите в България (КАБ) изразява становището си по проекта на Закон за изменение и допълнение (ЗИД) на Закона за насърчаване на инвестициите (ЗНИ) сигн. № 49-454-01-51/2024 г.</w:t>
      </w:r>
    </w:p>
    <w:p w:rsidR="00000000" w:rsidDel="00000000" w:rsidP="00000000" w:rsidRDefault="00000000" w:rsidRPr="00000000" w14:paraId="0000000C">
      <w:pPr>
        <w:tabs>
          <w:tab w:val="left" w:leader="none" w:pos="810"/>
        </w:tabs>
        <w:spacing w:after="120" w:line="240" w:lineRule="auto"/>
        <w:ind w:firstLine="709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Принципно подкрепяме целите на приетия на първо четене проект на ЗИД на ЗНИ за синхронизиране на ЗНИ с правота на Европейския съюз. Проектът не засяга пряко упражняването на професията „архитект“. В направените предложения от народни представители сигн. № 49-454-01-73/04.04.2024 г. за предстоящото второ четене на проекта обаче, се искат изменения на текстове от Закона за опазване на околната среда (ЗООС) и от Закона за устройство на територията (ЗУТ), които са повод за изразената по-долу позиция.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120" w:before="0" w:line="240" w:lineRule="auto"/>
        <w:ind w:left="0" w:right="0" w:firstLine="70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Предложение сигн. № 49-454-01-73/04.04.2024 г. от народни представители изцяло е извън предмета на внесения от Министерски съвет и приет на първо четене ЗИД на ЗНИ, поради което и на основание чл. 80, ал. 1, изр. трето и четвърто от Правилника за организацията и дейността на Народното събрание (ПОДНС), не следва да се разглеждат и гласуват по същество като недопустими.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120" w:before="0" w:line="240" w:lineRule="auto"/>
        <w:ind w:left="0" w:right="0" w:firstLine="70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Становище по конкретни текстове от предложение сигн. № 49-454-01-73/04.04.2024 г.: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240" w:lineRule="auto"/>
        <w:ind w:left="0" w:right="0" w:firstLine="70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Към т. 1 и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10"/>
        </w:tabs>
        <w:spacing w:after="120" w:line="240" w:lineRule="auto"/>
        <w:ind w:firstLine="709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Предложеният нов § 9 в ЗИД на ЗНИ няма характер на преходна или заключителна разпоредба по смисъла на чл. 34 от Указ № 883 от 24.04.1974 г. за прилагане на Закона за нормативните актове (ЗНА). Текстовете систематично би трябвало да са в тялото на ЗНИ или на ЗООС. По същество въвеждането на специални срокове за определен вид обекти е както дискриминационно и противоречащо на чл. 6 от Конституцията на Република България, не е съобразено и с възможностите за адекватна реакция на ангажираните администрации. Освен това, въвеждането на мълчаливо съгласие по въпроси от околната среда е абсолютно недопустимо, тъй като може да доведе до трайни, трудно преодолими или дори необратими последици.</w:t>
      </w:r>
    </w:p>
    <w:p w:rsidR="00000000" w:rsidDel="00000000" w:rsidP="00000000" w:rsidRDefault="00000000" w:rsidRPr="00000000" w14:paraId="00000011">
      <w:pPr>
        <w:tabs>
          <w:tab w:val="left" w:leader="none" w:pos="810"/>
        </w:tabs>
        <w:spacing w:after="120" w:line="240" w:lineRule="auto"/>
        <w:ind w:firstLine="709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В предложените текстове към тялото на ЗООС не е ясно по каква причина е въведено ограничението съдът да се произнася само с решение, но не и с всички предвидени в Административнопроцесуалния кодекс актове. Това би създало недопустим разнобой в практиката. Абсурдно е и предложеното създаване на преходна разпоредба към ЗООС. По същество предложението за удължаване срока на действие на заварени актове е необосновано. Освен това не става ясно дали е приложимо за заварени действащи актове или изобщо за всички издадени актове по чл. 93, ал. 8 и чл. 99, ал. 12 от ЗООС.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240" w:lineRule="auto"/>
        <w:ind w:left="0" w:right="0" w:firstLine="70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Към т. 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10"/>
        </w:tabs>
        <w:spacing w:after="120" w:line="240" w:lineRule="auto"/>
        <w:ind w:firstLine="709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Предложенията към ЗУТ са за редакция на действащите текстове на чл. 124а, ал. 9 и чл. 129, ал. 6 от ЗУТ, въведени през 2019 г. Още тогава текстовете бяха спорни, доколкото засягат правата на местните общности и могат да бъдат против техните интереси, а също така, пренебрегват основни правомощия на органите на местно самоуправление в областта на устройственото планиране. През 2019 г. цел на изменението на ЗУТ беше преодоляване на конфликти свързани с предвижданията най-вече на важни обекти на транспортната инфраструктура. Текстовете в действащата редакция засягат линейни елементи на техническата инфраструктура. Новото предложение към ЗИД на ЗНИ разширява кръга на възможните обекти, с което нарастват и недостатъците на действащите в момента текстове. Не взета предвид, също така, и различната компетенция по отношение одобряването на общите устройствени планове на Столична община и на Черноморските общини.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240" w:lineRule="auto"/>
        <w:ind w:left="0" w:right="0" w:firstLine="70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Към т. 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10"/>
        </w:tabs>
        <w:spacing w:after="120" w:line="240" w:lineRule="auto"/>
        <w:ind w:firstLine="709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Предлага се създаване на изключение от общо правило без ясен мотив и отново в нарушение на чл. 6 от Конституцията на Република България.</w:t>
      </w:r>
    </w:p>
    <w:p w:rsidR="00000000" w:rsidDel="00000000" w:rsidP="00000000" w:rsidRDefault="00000000" w:rsidRPr="00000000" w14:paraId="00000016">
      <w:pPr>
        <w:spacing w:after="120" w:line="240" w:lineRule="auto"/>
        <w:ind w:firstLine="706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Уважаеми г-н Нанков,</w:t>
      </w:r>
    </w:p>
    <w:p w:rsidR="00000000" w:rsidDel="00000000" w:rsidP="00000000" w:rsidRDefault="00000000" w:rsidRPr="00000000" w14:paraId="00000017">
      <w:pPr>
        <w:spacing w:after="120" w:line="240" w:lineRule="auto"/>
        <w:ind w:firstLine="706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Уважаеми дами и господа народни представители,</w:t>
      </w:r>
    </w:p>
    <w:p w:rsidR="00000000" w:rsidDel="00000000" w:rsidP="00000000" w:rsidRDefault="00000000" w:rsidRPr="00000000" w14:paraId="00000018">
      <w:pPr>
        <w:spacing w:after="120" w:line="240" w:lineRule="auto"/>
        <w:ind w:firstLine="706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6"/>
          <w:szCs w:val="26"/>
          <w:rtl w:val="0"/>
        </w:rPr>
        <w:t xml:space="preserve">Моля да не разглеждате по същество внесените предложения сигн. № 49-454-01-51/2024 г. като недопустими, съгласно ПОДНС. В случай, че все пак бъдат разгледани, моля да не ги приемате като противоречащи на общи принципи на правото и на чл. 6 от Конституцията на Република България.</w:t>
      </w:r>
    </w:p>
    <w:p w:rsidR="00000000" w:rsidDel="00000000" w:rsidP="00000000" w:rsidRDefault="00000000" w:rsidRPr="00000000" w14:paraId="00000019">
      <w:pPr>
        <w:spacing w:after="0" w:before="640" w:line="240" w:lineRule="auto"/>
        <w:ind w:left="2880" w:firstLine="720"/>
        <w:jc w:val="both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С уважение,</w:t>
      </w:r>
    </w:p>
    <w:p w:rsidR="00000000" w:rsidDel="00000000" w:rsidP="00000000" w:rsidRDefault="00000000" w:rsidRPr="00000000" w14:paraId="0000001A">
      <w:pPr>
        <w:spacing w:after="0" w:line="240" w:lineRule="auto"/>
        <w:ind w:left="3600" w:firstLine="0"/>
        <w:jc w:val="both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3600" w:firstLine="0"/>
        <w:jc w:val="both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АРХ.ВЛАДИМИР МИЛКОВ,</w:t>
      </w:r>
    </w:p>
    <w:p w:rsidR="00000000" w:rsidDel="00000000" w:rsidP="00000000" w:rsidRDefault="00000000" w:rsidRPr="00000000" w14:paraId="0000001C">
      <w:pPr>
        <w:spacing w:after="0" w:line="240" w:lineRule="auto"/>
        <w:ind w:left="3600" w:firstLine="0"/>
        <w:jc w:val="both"/>
        <w:rPr>
          <w:rFonts w:ascii="Arial Narrow" w:cs="Arial Narrow" w:eastAsia="Arial Narrow" w:hAnsi="Arial Narrow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ПРЕДСЕДАТЕЛ НА УС НА КАБ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1417" w:top="1417" w:left="1417" w:right="1417" w:header="709" w:footer="3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Стр.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от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8340" cy="7086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83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